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02.02.2026 р.</w:t>
      </w:r>
    </w:p>
    <w:p w:rsidR="00000000" w:rsidDel="00000000" w:rsidP="00000000" w:rsidRDefault="00000000" w:rsidRPr="00000000" w14:paraId="00000002">
      <w:pPr>
        <w:spacing w:after="0" w:before="28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ОБҐРУНТУВАННЯ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технічних та якісних характеристик закупівлі</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розміру бюджетного призначення, очікуваної вартості предмета закупівлі</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(оприлюднюється на виконання постанови КМУ № 710 від 11.10.2016 «Про ефективне використання державних коштів» (зі змінами))</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color w:val="242424"/>
        </w:rPr>
      </w:pPr>
      <w:r w:rsidDel="00000000" w:rsidR="00000000" w:rsidRPr="00000000">
        <w:rPr>
          <w:rFonts w:ascii="Times New Roman" w:cs="Times New Roman" w:eastAsia="Times New Roman" w:hAnsi="Times New Roman"/>
          <w:color w:val="242424"/>
          <w:rtl w:val="0"/>
        </w:rPr>
        <w:br w:type="textWrapping"/>
      </w:r>
      <w:r w:rsidDel="00000000" w:rsidR="00000000" w:rsidRPr="00000000">
        <w:rPr>
          <w:rFonts w:ascii="Times New Roman" w:cs="Times New Roman" w:eastAsia="Times New Roman" w:hAnsi="Times New Roman"/>
          <w:b w:val="1"/>
          <w:bCs w:val="1"/>
          <w:color w:val="242424"/>
          <w:rtl w:val="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000000" w:rsidDel="00000000" w:rsidP="00000000" w:rsidRDefault="00000000" w:rsidRPr="00000000" w14:paraId="00000006">
      <w:pPr>
        <w:spacing w:after="0" w:line="24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ДП "Державне підприємство "Український науковий фармакопейний центр якості лікарських засобів""</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61085, Україна, Харківська область, м. Харків, вулиця Астрономічна, 33</w:t>
      </w:r>
    </w:p>
    <w:p w:rsidR="00000000" w:rsidDel="00000000" w:rsidP="00000000" w:rsidRDefault="00000000" w:rsidRPr="00000000" w14:paraId="00000008">
      <w:pPr>
        <w:spacing w:after="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ідентифікаційний код: 22617729;</w:t>
      </w:r>
    </w:p>
    <w:p w:rsidR="00000000" w:rsidDel="00000000" w:rsidP="00000000" w:rsidRDefault="00000000" w:rsidRPr="00000000" w14:paraId="00000009">
      <w:pPr>
        <w:spacing w:after="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 юридична  особа, яка  забезпечує  потреби  держави  або  територіальної  громади</w:t>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242424"/>
        </w:rPr>
      </w:pPr>
      <w:r w:rsidDel="00000000" w:rsidR="00000000" w:rsidRPr="00000000">
        <w:rPr>
          <w:rFonts w:ascii="Times New Roman" w:cs="Times New Roman" w:eastAsia="Times New Roman" w:hAnsi="Times New Roman"/>
          <w:b w:val="1"/>
          <w:bCs w:val="1"/>
          <w:color w:val="242424"/>
          <w:rtl w:val="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Del="00000000" w:rsidR="00000000" w:rsidRPr="00000000">
        <w:rPr>
          <w:rFonts w:ascii="Times New Roman" w:cs="Times New Roman" w:eastAsia="Times New Roman" w:hAnsi="Times New Roman"/>
          <w:color w:val="242424"/>
          <w:rtl w:val="0"/>
        </w:rPr>
        <w:t xml:space="preserve"> Реактиви для проведення експериментально-валідаційних досліджень, за кодом ДК 021:2015 33600000-6 Фармацевтична продукція</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bCs w:val="1"/>
          <w:shd w:fill="f0f5f2" w:val="clear"/>
        </w:rPr>
      </w:pPr>
      <w:r w:rsidDel="00000000" w:rsidR="00000000" w:rsidRPr="00000000">
        <w:rPr>
          <w:rFonts w:ascii="Times New Roman" w:cs="Times New Roman" w:eastAsia="Times New Roman" w:hAnsi="Times New Roman"/>
          <w:b w:val="1"/>
          <w:bCs w:val="1"/>
          <w:color w:val="242424"/>
          <w:rtl w:val="0"/>
        </w:rPr>
        <w:t xml:space="preserve">Вид та ідентифікатор процедури закупівлі: </w:t>
      </w:r>
      <w:r w:rsidDel="00000000" w:rsidR="00000000" w:rsidRPr="00000000">
        <w:rPr>
          <w:rFonts w:ascii="Times New Roman" w:cs="Times New Roman" w:eastAsia="Times New Roman" w:hAnsi="Times New Roman"/>
          <w:b w:val="1"/>
          <w:bCs w:val="1"/>
          <w:color w:val="333333"/>
          <w:sz w:val="20"/>
          <w:szCs w:val="20"/>
          <w:highlight w:val="white"/>
          <w:rtl w:val="0"/>
        </w:rPr>
        <w:t xml:space="preserve">UA-2026-02-02-001419-a</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b w:val="1"/>
          <w:bCs w:val="1"/>
          <w:highlight w:val="white"/>
          <w:rtl w:val="0"/>
        </w:rPr>
        <w:t xml:space="preserve">Вид закупівлі:  </w:t>
      </w:r>
      <w:r w:rsidDel="00000000" w:rsidR="00000000" w:rsidRPr="00000000">
        <w:rPr>
          <w:rFonts w:ascii="Times New Roman" w:cs="Times New Roman" w:eastAsia="Times New Roman" w:hAnsi="Times New Roman"/>
          <w:highlight w:val="white"/>
          <w:u w:val="single"/>
          <w:rtl w:val="0"/>
        </w:rPr>
        <w:t xml:space="preserve">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rsidR="00000000" w:rsidDel="00000000" w:rsidP="00000000" w:rsidRDefault="00000000" w:rsidRPr="00000000" w14:paraId="00000010">
      <w:pPr>
        <w:spacing w:befor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Очікувана вартість та обґрунтування очікуваної вартості предмета закупівлі:</w:t>
      </w:r>
      <w:r w:rsidDel="00000000" w:rsidR="00000000" w:rsidRPr="00000000">
        <w:rPr>
          <w:rFonts w:ascii="Times New Roman" w:cs="Times New Roman" w:eastAsia="Times New Roman" w:hAnsi="Times New Roman"/>
          <w:color w:val="242424"/>
          <w:rtl w:val="0"/>
        </w:rPr>
        <w:t xml:space="preserve">  </w:t>
      </w:r>
      <w:r w:rsidDel="00000000" w:rsidR="00000000" w:rsidRPr="00000000">
        <w:rPr>
          <w:rFonts w:ascii="Times New Roman" w:cs="Times New Roman" w:eastAsia="Times New Roman" w:hAnsi="Times New Roman"/>
          <w:u w:val="single"/>
          <w:rtl w:val="0"/>
        </w:rPr>
        <w:t xml:space="preserve">90 277,72 грн. (дев'яносто тисяч двісті сімдесят сім гривень 72 копійки), у т.ч. ПДВ (20%) 15046.29 грн.</w:t>
      </w:r>
    </w:p>
    <w:p w:rsidR="00000000" w:rsidDel="00000000" w:rsidP="00000000" w:rsidRDefault="00000000" w:rsidRPr="00000000" w14:paraId="00000011">
      <w:pPr>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Очікувана вартість предмета  закупівлі:</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rPr>
      </w:pPr>
      <w:bookmarkStart w:colFirst="0" w:colLast="0" w:name="_heading=h.p495syw53r9p" w:id="0"/>
      <w:bookmarkEnd w:id="0"/>
      <w:r w:rsidDel="00000000" w:rsidR="00000000" w:rsidRPr="00000000">
        <w:rPr>
          <w:rFonts w:ascii="Times New Roman" w:cs="Times New Roman" w:eastAsia="Times New Roman" w:hAnsi="Times New Roman"/>
          <w:color w:val="000000"/>
          <w:rtl w:val="0"/>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rsidR="00000000" w:rsidDel="00000000" w:rsidP="00000000" w:rsidRDefault="00000000" w:rsidRPr="00000000" w14:paraId="00000013">
      <w:pPr>
        <w:spacing w:befor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color w:val="000000"/>
          <w:rtl w:val="0"/>
        </w:rPr>
        <w:t xml:space="preserve">Розмір бюджетного призначення:</w:t>
      </w:r>
      <w:r w:rsidDel="00000000" w:rsidR="00000000" w:rsidRPr="00000000">
        <w:rPr>
          <w:rFonts w:ascii="Times New Roman" w:cs="Times New Roman" w:eastAsia="Times New Roman" w:hAnsi="Times New Roman"/>
          <w:color w:val="000000"/>
          <w:rtl w:val="0"/>
        </w:rPr>
        <w:t xml:space="preserve"> Власний бюджет</w:t>
      </w:r>
      <w:r w:rsidDel="00000000" w:rsidR="00000000" w:rsidRPr="00000000">
        <w:rPr>
          <w:rFonts w:ascii="Times New Roman" w:cs="Times New Roman" w:eastAsia="Times New Roman" w:hAnsi="Times New Roman"/>
          <w:rtl w:val="0"/>
        </w:rPr>
        <w:t xml:space="preserve"> (кошти від господарської діяльності підприємства)</w:t>
      </w:r>
      <w:r w:rsidDel="00000000" w:rsidR="00000000" w:rsidRPr="00000000">
        <w:rPr>
          <w:rtl w:val="0"/>
        </w:rPr>
        <w:t xml:space="preserve"> </w:t>
      </w:r>
      <w:r w:rsidDel="00000000" w:rsidR="00000000" w:rsidRPr="00000000">
        <w:rPr>
          <w:rFonts w:ascii="Times New Roman" w:cs="Times New Roman" w:eastAsia="Times New Roman" w:hAnsi="Times New Roman"/>
          <w:u w:val="single"/>
          <w:rtl w:val="0"/>
        </w:rPr>
        <w:t xml:space="preserve">90 277,72 грн. (дев'яносто тисяч двісті сімдесят сім гривень 72 копійки), у т.ч. ПДВ (20%) 15046.29 грн.</w:t>
      </w:r>
    </w:p>
    <w:p w:rsidR="00000000" w:rsidDel="00000000" w:rsidP="00000000" w:rsidRDefault="00000000" w:rsidRPr="00000000" w14:paraId="00000014">
      <w:pPr>
        <w:spacing w:befor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rtl w:val="0"/>
        </w:rPr>
        <w:t xml:space="preserve">Обґрунтування якісних та технічних характеристик. </w:t>
      </w:r>
      <w:r w:rsidDel="00000000" w:rsidR="00000000" w:rsidRPr="00000000">
        <w:rPr>
          <w:rFonts w:ascii="Times New Roman" w:cs="Times New Roman" w:eastAsia="Times New Roman" w:hAnsi="Times New Roman"/>
          <w:u w:val="single"/>
          <w:rtl w:val="0"/>
        </w:rPr>
        <w:t xml:space="preserve">Строк поставки товару:  до 31 грудня  2026  року включно.</w:t>
      </w:r>
    </w:p>
    <w:p w:rsidR="00000000" w:rsidDel="00000000" w:rsidP="00000000" w:rsidRDefault="00000000" w:rsidRPr="00000000" w14:paraId="00000015">
      <w:pPr>
        <w:spacing w:after="0" w:lineRule="auto"/>
        <w:ind w:left="-993" w:firstLine="567"/>
        <w:jc w:val="both"/>
        <w:rPr>
          <w:rFonts w:ascii="Times New Roman" w:cs="Times New Roman" w:eastAsia="Times New Roman" w:hAnsi="Times New Roman"/>
          <w:b w:val="1"/>
          <w:bCs w:val="1"/>
        </w:rPr>
      </w:pPr>
      <w:r w:rsidDel="00000000" w:rsidR="00000000" w:rsidRPr="00000000">
        <w:rPr>
          <w:rtl w:val="0"/>
        </w:rPr>
      </w:r>
    </w:p>
    <w:tbl>
      <w:tblPr>
        <w:tblStyle w:val="Table1"/>
        <w:tblW w:w="10632.0" w:type="dxa"/>
        <w:jc w:val="left"/>
        <w:tblInd w:w="-716.0" w:type="dxa"/>
        <w:tblLayout w:type="fixed"/>
        <w:tblLook w:val="0400"/>
      </w:tblPr>
      <w:tblGrid>
        <w:gridCol w:w="709"/>
        <w:gridCol w:w="8222"/>
        <w:gridCol w:w="709"/>
        <w:gridCol w:w="992"/>
        <w:tblGridChange w:id="0">
          <w:tblGrid>
            <w:gridCol w:w="709"/>
            <w:gridCol w:w="8222"/>
            <w:gridCol w:w="709"/>
            <w:gridCol w:w="992"/>
          </w:tblGrid>
        </w:tblGridChange>
      </w:tblGrid>
      <w:tr>
        <w:trPr>
          <w:cantSplit w:val="0"/>
          <w:trHeight w:val="435" w:hRule="atLeast"/>
          <w:tblHeader w:val="0"/>
        </w:trPr>
        <w:tc>
          <w:tcPr>
            <w:vMerge w:val="restart"/>
            <w:tcBorders>
              <w:top w:color="000000" w:space="0" w:sz="8" w:val="single"/>
              <w:left w:color="000000" w:space="0" w:sz="8" w:val="single"/>
              <w:bottom w:color="000000" w:space="0" w:sz="0" w:val="nil"/>
              <w:right w:color="000000" w:space="0" w:sz="0" w:val="nil"/>
            </w:tcBorders>
            <w:shd w:fill="eeeeee" w:val="clear"/>
            <w:vAlign w:val="center"/>
          </w:tcPr>
          <w:p w:rsidR="00000000" w:rsidDel="00000000" w:rsidP="00000000" w:rsidRDefault="00000000" w:rsidRPr="00000000" w14:paraId="00000016">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p>
        </w:tc>
        <w:tc>
          <w:tcPr>
            <w:tcBorders>
              <w:top w:color="000000" w:space="0" w:sz="8" w:val="single"/>
              <w:left w:color="000000" w:space="0" w:sz="4" w:val="single"/>
              <w:bottom w:color="000000" w:space="0" w:sz="0" w:val="nil"/>
              <w:right w:color="000000" w:space="0" w:sz="0" w:val="nil"/>
            </w:tcBorders>
            <w:shd w:fill="eeeeee" w:val="clear"/>
            <w:vAlign w:val="center"/>
          </w:tcPr>
          <w:p w:rsidR="00000000" w:rsidDel="00000000" w:rsidP="00000000" w:rsidRDefault="00000000" w:rsidRPr="00000000" w14:paraId="00000017">
            <w:pPr>
              <w:spacing w:after="0" w:line="240" w:lineRule="auto"/>
              <w:jc w:val="center"/>
              <w:rPr>
                <w:rFonts w:ascii="Arial" w:cs="Arial" w:eastAsia="Arial" w:hAnsi="Arial"/>
                <w:b w:val="1"/>
                <w:bCs w:val="1"/>
                <w:sz w:val="18"/>
                <w:szCs w:val="18"/>
              </w:rPr>
            </w:pPr>
            <w:r w:rsidDel="00000000" w:rsidR="00000000" w:rsidRPr="00000000">
              <w:rPr>
                <w:b w:val="1"/>
                <w:bCs w:val="1"/>
                <w:rtl w:val="0"/>
              </w:rPr>
              <w:t xml:space="preserve">Найменування предмету закупівлі</w:t>
            </w:r>
            <w:r w:rsidDel="00000000" w:rsidR="00000000" w:rsidRPr="00000000">
              <w:rPr>
                <w:rtl w:val="0"/>
              </w:rPr>
            </w:r>
          </w:p>
        </w:tc>
        <w:tc>
          <w:tcPr>
            <w:vMerge w:val="restart"/>
            <w:tcBorders>
              <w:top w:color="000000" w:space="0" w:sz="8" w:val="single"/>
              <w:left w:color="000000" w:space="0" w:sz="4" w:val="single"/>
              <w:bottom w:color="000000" w:space="0" w:sz="0" w:val="nil"/>
              <w:right w:color="000000" w:space="0" w:sz="0" w:val="nil"/>
            </w:tcBorders>
            <w:shd w:fill="eeeeee" w:val="clear"/>
            <w:vAlign w:val="center"/>
          </w:tcPr>
          <w:p w:rsidR="00000000" w:rsidDel="00000000" w:rsidP="00000000" w:rsidRDefault="00000000" w:rsidRPr="00000000" w14:paraId="00000018">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Кіл-ть</w:t>
            </w:r>
          </w:p>
        </w:tc>
        <w:tc>
          <w:tcPr>
            <w:vMerge w:val="restart"/>
            <w:tcBorders>
              <w:top w:color="000000" w:space="0" w:sz="8" w:val="single"/>
              <w:left w:color="000000" w:space="0" w:sz="4" w:val="single"/>
              <w:bottom w:color="000000" w:space="0" w:sz="0" w:val="nil"/>
              <w:right w:color="000000" w:space="0" w:sz="4" w:val="single"/>
            </w:tcBorders>
            <w:shd w:fill="eeeeee" w:val="clear"/>
            <w:vAlign w:val="center"/>
          </w:tcPr>
          <w:p w:rsidR="00000000" w:rsidDel="00000000" w:rsidP="00000000" w:rsidRDefault="00000000" w:rsidRPr="00000000" w14:paraId="00000019">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Од.</w:t>
            </w:r>
          </w:p>
        </w:tc>
      </w:tr>
      <w:tr>
        <w:trPr>
          <w:cantSplit w:val="0"/>
          <w:trHeight w:val="300" w:hRule="atLeast"/>
          <w:tblHeader w:val="0"/>
        </w:trPr>
        <w:tc>
          <w:tcPr>
            <w:vMerge w:val="continue"/>
            <w:tcBorders>
              <w:top w:color="000000" w:space="0" w:sz="8" w:val="single"/>
              <w:left w:color="000000" w:space="0" w:sz="8" w:val="single"/>
              <w:bottom w:color="000000" w:space="0" w:sz="0" w:val="nil"/>
              <w:right w:color="000000" w:space="0" w:sz="0" w:val="nil"/>
            </w:tcBorders>
            <w:shd w:fill="eeeeee"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eeeee" w:val="clear"/>
            <w:vAlign w:val="center"/>
          </w:tcPr>
          <w:p w:rsidR="00000000" w:rsidDel="00000000" w:rsidP="00000000" w:rsidRDefault="00000000" w:rsidRPr="00000000" w14:paraId="0000001B">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tc>
        <w:tc>
          <w:tcPr>
            <w:vMerge w:val="continue"/>
            <w:tcBorders>
              <w:top w:color="000000" w:space="0" w:sz="8" w:val="single"/>
              <w:left w:color="000000" w:space="0" w:sz="4" w:val="single"/>
              <w:bottom w:color="000000" w:space="0" w:sz="0" w:val="nil"/>
              <w:right w:color="000000" w:space="0" w:sz="0" w:val="nil"/>
            </w:tcBorders>
            <w:shd w:fill="eeeeee"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c>
          <w:tcPr>
            <w:vMerge w:val="continue"/>
            <w:tcBorders>
              <w:top w:color="000000" w:space="0" w:sz="8" w:val="single"/>
              <w:left w:color="000000" w:space="0" w:sz="4" w:val="single"/>
              <w:bottom w:color="000000" w:space="0" w:sz="0" w:val="nil"/>
              <w:right w:color="000000" w:space="0" w:sz="4" w:val="single"/>
            </w:tcBorders>
            <w:shd w:fill="eeeeee"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8"/>
                <w:szCs w:val="18"/>
              </w:rPr>
            </w:pPr>
            <w:r w:rsidDel="00000000" w:rsidR="00000000" w:rsidRPr="00000000">
              <w:rPr>
                <w:rtl w:val="0"/>
              </w:rPr>
            </w:r>
          </w:p>
        </w:tc>
      </w:tr>
      <w:tr>
        <w:trPr>
          <w:cantSplit w:val="0"/>
          <w:trHeight w:val="435" w:hRule="atLeast"/>
          <w:tblHeader w:val="0"/>
        </w:trPr>
        <w:tc>
          <w:tcPr>
            <w:tcBorders>
              <w:top w:color="000000" w:space="0" w:sz="4" w:val="single"/>
              <w:left w:color="000000" w:space="0" w:sz="8" w:val="single"/>
              <w:bottom w:color="000000" w:space="0" w:sz="0" w:val="nil"/>
              <w:right w:color="000000" w:space="0" w:sz="0" w:val="nil"/>
            </w:tcBorders>
          </w:tcPr>
          <w:p w:rsidR="00000000" w:rsidDel="00000000" w:rsidP="00000000" w:rsidRDefault="00000000" w:rsidRPr="00000000" w14:paraId="0000001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1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I0655-100G Індометацин, &gt;98.0%, (T)(ВЕРХ), (TCI), 100 г</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0">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шт</w:t>
            </w:r>
          </w:p>
        </w:tc>
      </w:tr>
      <w:tr>
        <w:trPr>
          <w:cantSplit w:val="0"/>
          <w:trHeight w:val="435" w:hRule="atLeast"/>
          <w:tblHeader w:val="0"/>
        </w:trPr>
        <w:tc>
          <w:tcPr>
            <w:tcBorders>
              <w:top w:color="000000" w:space="0" w:sz="4" w:val="single"/>
              <w:left w:color="000000" w:space="0" w:sz="8" w:val="single"/>
              <w:bottom w:color="000000" w:space="0" w:sz="0" w:val="nil"/>
              <w:right w:color="000000" w:space="0" w:sz="0" w:val="nil"/>
            </w:tcBorders>
          </w:tcPr>
          <w:p w:rsidR="00000000" w:rsidDel="00000000" w:rsidP="00000000" w:rsidRDefault="00000000" w:rsidRPr="00000000" w14:paraId="0000002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C2867-25G Клотримазол, &gt;98,0%(Т)(ВЕРХ), (TCI), 25 г</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4">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шт</w:t>
            </w:r>
          </w:p>
        </w:tc>
      </w:tr>
      <w:tr>
        <w:trPr>
          <w:cantSplit w:val="0"/>
          <w:trHeight w:val="435" w:hRule="atLeast"/>
          <w:tblHeader w:val="0"/>
        </w:trPr>
        <w:tc>
          <w:tcPr>
            <w:tcBorders>
              <w:top w:color="000000" w:space="0" w:sz="4" w:val="single"/>
              <w:left w:color="000000" w:space="0" w:sz="8" w:val="single"/>
              <w:bottom w:color="000000" w:space="0" w:sz="0" w:val="nil"/>
              <w:right w:color="000000" w:space="0" w:sz="0" w:val="nil"/>
            </w:tcBorders>
          </w:tcPr>
          <w:p w:rsidR="00000000" w:rsidDel="00000000" w:rsidP="00000000" w:rsidRDefault="00000000" w:rsidRPr="00000000" w14:paraId="00000026">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Диметилформамід, д/аналізу, ACS, Ph.Eur., USP, 444926, 1 л, уп.1 л</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8">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5,000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паков</w:t>
            </w:r>
          </w:p>
        </w:tc>
      </w:tr>
      <w:tr>
        <w:trPr>
          <w:cantSplit w:val="0"/>
          <w:trHeight w:val="435" w:hRule="atLeast"/>
          <w:tblHeader w:val="0"/>
        </w:trPr>
        <w:tc>
          <w:tcPr>
            <w:tcBorders>
              <w:top w:color="000000" w:space="0" w:sz="4" w:val="single"/>
              <w:left w:color="000000" w:space="0" w:sz="8" w:val="single"/>
              <w:bottom w:color="000000" w:space="0" w:sz="0" w:val="nil"/>
              <w:right w:color="000000" w:space="0" w:sz="0" w:val="nil"/>
            </w:tcBorders>
          </w:tcPr>
          <w:p w:rsidR="00000000" w:rsidDel="00000000" w:rsidP="00000000" w:rsidRDefault="00000000" w:rsidRPr="00000000" w14:paraId="0000002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61010238 Хромогенний субстрат pNAPEP-0238 для визначення тромбіну, 25 мг</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2C">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паков</w:t>
            </w:r>
          </w:p>
        </w:tc>
      </w:tr>
      <w:tr>
        <w:trPr>
          <w:cantSplit w:val="0"/>
          <w:trHeight w:val="435" w:hRule="atLeast"/>
          <w:tblHeader w:val="0"/>
        </w:trPr>
        <w:tc>
          <w:tcPr>
            <w:tcBorders>
              <w:top w:color="000000" w:space="0" w:sz="4" w:val="single"/>
              <w:left w:color="000000" w:space="0" w:sz="8" w:val="single"/>
              <w:bottom w:color="000000" w:space="0" w:sz="8" w:val="single"/>
              <w:right w:color="000000" w:space="0" w:sz="0" w:val="nil"/>
            </w:tcBorders>
          </w:tcPr>
          <w:p w:rsidR="00000000" w:rsidDel="00000000" w:rsidP="00000000" w:rsidRDefault="00000000" w:rsidRPr="00000000" w14:paraId="0000002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Borders>
              <w:top w:color="000000" w:space="0" w:sz="4" w:val="single"/>
              <w:left w:color="000000" w:space="0" w:sz="4" w:val="single"/>
              <w:bottom w:color="000000" w:space="0" w:sz="8" w:val="single"/>
              <w:right w:color="000000" w:space="0" w:sz="0" w:val="nil"/>
            </w:tcBorders>
          </w:tcPr>
          <w:p w:rsidR="00000000" w:rsidDel="00000000" w:rsidP="00000000" w:rsidRDefault="00000000" w:rsidRPr="00000000" w14:paraId="0000002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61011065   Хромогенний субстрат для визначення фактору Ха pNAPEP-1065, 25 мг</w:t>
            </w:r>
          </w:p>
        </w:tc>
        <w:tc>
          <w:tcPr>
            <w:tcBorders>
              <w:top w:color="000000" w:space="0" w:sz="4" w:val="single"/>
              <w:left w:color="000000" w:space="0" w:sz="4" w:val="single"/>
              <w:bottom w:color="000000" w:space="0" w:sz="8" w:val="single"/>
              <w:right w:color="000000" w:space="0" w:sz="0" w:val="nil"/>
            </w:tcBorders>
          </w:tcPr>
          <w:p w:rsidR="00000000" w:rsidDel="00000000" w:rsidP="00000000" w:rsidRDefault="00000000" w:rsidRPr="00000000" w14:paraId="00000030">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1,000</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3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паков</w:t>
            </w:r>
          </w:p>
        </w:tc>
      </w:tr>
    </w:tbl>
    <w:p w:rsidR="00000000" w:rsidDel="00000000" w:rsidP="00000000" w:rsidRDefault="00000000" w:rsidRPr="00000000" w14:paraId="00000032">
      <w:pPr>
        <w:spacing w:after="0" w:lineRule="auto"/>
        <w:ind w:left="-993"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after="0" w:lineRule="auto"/>
        <w:ind w:left="-993"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ind w:left="-993"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Якість товару повинна відповідати діючим на території України державним/міжнародним стандартам, </w:t>
      </w:r>
      <w:r w:rsidDel="00000000" w:rsidR="00000000" w:rsidRPr="00000000">
        <w:rPr>
          <w:rFonts w:ascii="Times New Roman" w:cs="Times New Roman" w:eastAsia="Times New Roman" w:hAnsi="Times New Roman"/>
          <w:sz w:val="24"/>
          <w:szCs w:val="24"/>
          <w:rtl w:val="0"/>
        </w:rPr>
        <w:t xml:space="preserve">технічним умовам, іншій технічній документації на вищезазначений повинен надати відповідний документ або його копію.</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tandard" w:customStyle="1">
    <w:name w:val="Standard"/>
    <w:uiPriority w:val="99"/>
    <w:qFormat w:val="1"/>
    <w:rsid w:val="001756D2"/>
    <w:pPr>
      <w:widowControl w:val="0"/>
      <w:suppressAutoHyphens w:val="1"/>
      <w:spacing w:after="0" w:line="240" w:lineRule="auto"/>
      <w:textAlignment w:val="baseline"/>
    </w:pPr>
    <w:rPr>
      <w:rFonts w:ascii="Times New Roman" w:cs="Mangal" w:eastAsia="Lucida Sans Unicode" w:hAnsi="Times New Roman"/>
      <w:kern w:val="2"/>
      <w:sz w:val="24"/>
      <w:szCs w:val="24"/>
      <w:lang w:bidi="hi-IN" w:eastAsia="zh-CN"/>
    </w:rPr>
  </w:style>
  <w:style w:type="character" w:styleId="10" w:customStyle="1">
    <w:name w:val="Заголовок 1 Знак"/>
    <w:basedOn w:val="a0"/>
    <w:link w:val="1"/>
    <w:uiPriority w:val="9"/>
    <w:rsid w:val="001756D2"/>
    <w:rPr>
      <w:b w:val="1"/>
      <w:sz w:val="48"/>
      <w:szCs w:val="48"/>
    </w:rPr>
  </w:style>
  <w:style w:type="character" w:styleId="20" w:customStyle="1">
    <w:name w:val="Заголовок 2 Знак"/>
    <w:basedOn w:val="a0"/>
    <w:link w:val="2"/>
    <w:uiPriority w:val="9"/>
    <w:semiHidden w:val="1"/>
    <w:rsid w:val="001756D2"/>
    <w:rPr>
      <w:b w:val="1"/>
      <w:sz w:val="36"/>
      <w:szCs w:val="36"/>
    </w:rPr>
  </w:style>
  <w:style w:type="character" w:styleId="30" w:customStyle="1">
    <w:name w:val="Заголовок 3 Знак"/>
    <w:basedOn w:val="a0"/>
    <w:link w:val="3"/>
    <w:uiPriority w:val="9"/>
    <w:semiHidden w:val="1"/>
    <w:rsid w:val="001756D2"/>
    <w:rPr>
      <w:b w:val="1"/>
      <w:sz w:val="28"/>
      <w:szCs w:val="28"/>
    </w:rPr>
  </w:style>
  <w:style w:type="character" w:styleId="40" w:customStyle="1">
    <w:name w:val="Заголовок 4 Знак"/>
    <w:basedOn w:val="a0"/>
    <w:link w:val="4"/>
    <w:uiPriority w:val="9"/>
    <w:semiHidden w:val="1"/>
    <w:rsid w:val="001756D2"/>
    <w:rPr>
      <w:b w:val="1"/>
      <w:sz w:val="24"/>
      <w:szCs w:val="24"/>
    </w:rPr>
  </w:style>
  <w:style w:type="character" w:styleId="50" w:customStyle="1">
    <w:name w:val="Заголовок 5 Знак"/>
    <w:basedOn w:val="a0"/>
    <w:link w:val="5"/>
    <w:uiPriority w:val="9"/>
    <w:semiHidden w:val="1"/>
    <w:rsid w:val="001756D2"/>
    <w:rPr>
      <w:b w:val="1"/>
    </w:rPr>
  </w:style>
  <w:style w:type="character" w:styleId="60" w:customStyle="1">
    <w:name w:val="Заголовок 6 Знак"/>
    <w:basedOn w:val="a0"/>
    <w:link w:val="6"/>
    <w:uiPriority w:val="9"/>
    <w:semiHidden w:val="1"/>
    <w:rsid w:val="001756D2"/>
    <w:rPr>
      <w:b w:val="1"/>
      <w:sz w:val="20"/>
      <w:szCs w:val="20"/>
    </w:rPr>
  </w:style>
  <w:style w:type="character" w:styleId="a4" w:customStyle="1">
    <w:name w:val="Название Знак"/>
    <w:basedOn w:val="a0"/>
    <w:link w:val="a3"/>
    <w:uiPriority w:val="10"/>
    <w:rsid w:val="001756D2"/>
    <w:rPr>
      <w:b w:val="1"/>
      <w:sz w:val="72"/>
      <w:szCs w:val="72"/>
    </w:rPr>
  </w:style>
  <w:style w:type="character" w:styleId="a5">
    <w:name w:val="Strong"/>
    <w:uiPriority w:val="22"/>
    <w:qFormat w:val="1"/>
    <w:rsid w:val="001756D2"/>
    <w:rPr>
      <w:b w:val="1"/>
      <w:bCs w:val="1"/>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val="1"/>
    <w:rsid w:val="001756D2"/>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11" w:customStyle="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val="1"/>
    <w:rsid w:val="001756D2"/>
    <w:rPr>
      <w:rFonts w:ascii="Times New Roman" w:cs="Times New Roman" w:eastAsia="Times New Roman" w:hAnsi="Times New Roman"/>
      <w:sz w:val="24"/>
      <w:szCs w:val="24"/>
      <w:lang w:eastAsia="uk-UA"/>
    </w:rPr>
  </w:style>
  <w:style w:type="paragraph" w:styleId="a7">
    <w:name w:val="No Spacing"/>
    <w:link w:val="a8"/>
    <w:uiPriority w:val="1"/>
    <w:qFormat w:val="1"/>
    <w:rsid w:val="001756D2"/>
    <w:pPr>
      <w:suppressAutoHyphens w:val="1"/>
      <w:spacing w:after="0" w:line="240" w:lineRule="auto"/>
    </w:pPr>
    <w:rPr>
      <w:rFonts w:cs="Times New Roman" w:eastAsia="Times New Roman"/>
      <w:lang w:eastAsia="ar-SA"/>
    </w:rPr>
  </w:style>
  <w:style w:type="character" w:styleId="a8" w:customStyle="1">
    <w:name w:val="Без интервала Знак"/>
    <w:link w:val="a7"/>
    <w:uiPriority w:val="1"/>
    <w:qFormat w:val="1"/>
    <w:locked w:val="1"/>
    <w:rsid w:val="001756D2"/>
    <w:rPr>
      <w:rFonts w:cs="Times New Roman" w:eastAsia="Times New Roman"/>
      <w:lang w:eastAsia="ar-SA"/>
    </w:rPr>
  </w:style>
  <w:style w:type="paragraph" w:styleId="a9">
    <w:name w:val="List Paragraph"/>
    <w:aliases w:val="Numbered List,Список уровня 2,Elenco Normale,название табл/рис,Chapter10"/>
    <w:basedOn w:val="a"/>
    <w:link w:val="aa"/>
    <w:uiPriority w:val="34"/>
    <w:qFormat w:val="1"/>
    <w:rsid w:val="001756D2"/>
    <w:pPr>
      <w:ind w:left="720"/>
      <w:contextualSpacing w:val="1"/>
    </w:pPr>
  </w:style>
  <w:style w:type="character" w:styleId="aa" w:customStyle="1">
    <w:name w:val="Абзац списка Знак"/>
    <w:aliases w:val="Numbered List Знак,Список уровня 2 Знак,Elenco Normale Знак,название табл/рис Знак,Chapter10 Знак"/>
    <w:link w:val="a9"/>
    <w:uiPriority w:val="34"/>
    <w:locked w:val="1"/>
    <w:rsid w:val="001756D2"/>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kFgqNN2YcjS1vVUo+wVg5NTEQ==">CgMxLjAyDmgucDQ5NXN5dzUzcjlwOAByITFkYzRzT2FpRndwUEZIZ2w0ZFExMHE4eHhKY0ZJWDQzSw==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2026-02-07T18:26:00Z</dcterms:created>
  <dc:creator>User</dc:creator>
</cp:coreProperties>
</file>